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601"/>
        </w:tabs>
        <w:spacing w:line="36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体育学院课程信息化教学实施方案</w:t>
      </w:r>
    </w:p>
    <w:p>
      <w:pPr>
        <w:pStyle w:val="11"/>
        <w:ind w:firstLine="55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为深化教育教学改革，加快推进信息技术与课程教学的深度融合，逐步实现由“以</w:t>
      </w:r>
      <w:r>
        <w:rPr>
          <w:rFonts w:hint="eastAsia" w:asciiTheme="minorEastAsia" w:hAnsiTheme="minorEastAsia" w:eastAsiaTheme="minorEastAsia" w:cstheme="minorEastAsia"/>
          <w:sz w:val="30"/>
          <w:szCs w:val="30"/>
        </w:rPr>
        <w:t>教师为中心”向“以学生为中心”的转变，提高我院教育教学水平和人才培养质量，根据《山东理工大学课程信息化教学实施意见》（鲁理工大政发〔2016〕46号）和</w:t>
      </w:r>
      <w:bookmarkStart w:id="0" w:name="_GoBack"/>
      <w:bookmarkEnd w:id="0"/>
      <w:r>
        <w:rPr>
          <w:rFonts w:hint="eastAsia" w:asciiTheme="minorEastAsia" w:hAnsiTheme="minorEastAsia" w:eastAsiaTheme="minorEastAsia" w:cstheme="minorEastAsia"/>
          <w:sz w:val="30"/>
          <w:szCs w:val="30"/>
        </w:rPr>
        <w:t>关于落实《山东理工大学课程信息化教学实施意见》的通知</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t>教务函【2017】109号</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t>精神，特制定本实施方案。</w:t>
      </w:r>
    </w:p>
    <w:p>
      <w:pPr>
        <w:pStyle w:val="11"/>
        <w:ind w:firstLine="55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b/>
          <w:sz w:val="30"/>
          <w:szCs w:val="30"/>
        </w:rPr>
        <w:t>成立体育学院课程信息化教学改革工作组</w:t>
      </w:r>
    </w:p>
    <w:p>
      <w:pPr>
        <w:widowControl/>
        <w:spacing w:line="560" w:lineRule="exact"/>
        <w:ind w:left="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组  长：刘卫</w:t>
      </w:r>
    </w:p>
    <w:p>
      <w:pPr>
        <w:widowControl/>
        <w:spacing w:line="560" w:lineRule="exact"/>
        <w:ind w:left="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副组长：张成宝</w:t>
      </w:r>
    </w:p>
    <w:p>
      <w:pPr>
        <w:widowControl/>
        <w:spacing w:line="560" w:lineRule="exact"/>
        <w:ind w:left="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成  员：马国栋、杨刚、韩军梅、胡鹏、高博、郭涛、马凯</w:t>
      </w:r>
    </w:p>
    <w:p>
      <w:pPr>
        <w:widowControl/>
        <w:spacing w:line="560" w:lineRule="exact"/>
        <w:ind w:firstLine="640"/>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二、指导思想</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坚持育人为本，以转变教育理念为先导，以优质教育资源和信息化学习环境建设为基础，以学习方式和教育模式创新为核心，以体制机制和队伍建设为保障，加快信息技术与教育教学的融合创新。到2018年底，完成全部课程的数字化与网络化改造，优化信息化教学环境，探索多元有效的信息化教学模式，教师的教学能力明显提升，学生的学习兴趣和学习效果明显提高，信息化对教育教学改革的促进作用充分显现。</w:t>
      </w:r>
    </w:p>
    <w:p>
      <w:pPr>
        <w:widowControl/>
        <w:spacing w:line="560" w:lineRule="exact"/>
        <w:ind w:firstLine="590" w:firstLineChars="196"/>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三、建设内容</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数字化教学资源建设。教学资源建设是教育信息化的基础。利用现代信息技术完成全部课程教学资源的数字化改造。教学资源的开发和制作既符合国家“教育资源建设技术规范”，又满足学生在线学习的需要。鼓励教师协作开发或由学校购买引进优质教学资源。</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网络教学平台建设。学校网络教学平台为全校师生提供一个可控可管的高水平教学交流空间。平台建设既满足教师开展备课、授课、学习指导等教学活动的需要和学生开展自主学习、协作学习和探究学习等学习活动的需要，又满足教务管理部门开展学生综合评价与教学活动综合分析、提高管理效率的需要。</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三）教师信息化教学能力建设。教师是推进教学改革的关键因素。学校采取培训、研讨、观摩等方法和手段提升教师信息化环境下的教学能力，引导教师树立“以学生为中心”的教育理念，帮助教师学习和掌握信息技术，鼓励教师探索“课内课外、线上线下、校内校外、移动固定”互融互补的多样化混合式教学模式。 </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教学评价体系建设。改革评教、评学方式，强化教学过程评价。学校利用信息技术记录教师的教学过程，综合教师在线教学行为、学生满意度、专家评价等，建立课程信息化教学效果评价体系。教师完善课程考核办法，利用信息技术记录学生的学习过程，注重学生能力和素质的教学目标测评，综合学生的在线学习行为、课堂表现、平时作业和考试等，建立学生形成性评价体系。</w:t>
      </w:r>
    </w:p>
    <w:p>
      <w:pPr>
        <w:widowControl/>
        <w:spacing w:line="560" w:lineRule="exact"/>
        <w:ind w:firstLine="602" w:firstLineChars="200"/>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四、建设目标与时间要求</w:t>
      </w:r>
    </w:p>
    <w:p>
      <w:pPr>
        <w:widowControl/>
        <w:spacing w:line="560" w:lineRule="exact"/>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课程教学信息化建设分为初级、中级和高级三个应用层次。到2018年底，开设的全部课程均达到初级应用要求，30%的课程达到中级应用要求，20%的课程达到高级应用要求，全部课程在学校网络教学平台实现资源共享。逾期未达到初级应用要求的课程，将不予开课。（具体课程分级情况及完成时间见附表）</w:t>
      </w:r>
    </w:p>
    <w:p>
      <w:pPr>
        <w:widowControl/>
        <w:spacing w:line="560" w:lineRule="exact"/>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（一）初级应用要求。每门课程需在学校网络教学平台发布课程简介、教师信息、教学大纲（课程标准）、教学日历、考核办法、授课教案、参考资料等教学基本信息和主要教学材料。</w:t>
      </w:r>
    </w:p>
    <w:p>
      <w:pPr>
        <w:widowControl/>
        <w:spacing w:line="560" w:lineRule="exact"/>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（二）中级应用要求。每门课程在共享教学资源的同时，授课教师需利用学校网络教学平台发布课程通知、开展学情调查、布置批改作业、组织网上讨论答疑、完善试题库和在线测试等。</w:t>
      </w:r>
    </w:p>
    <w:p>
      <w:pPr>
        <w:widowControl/>
        <w:spacing w:line="56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高级应用要求。授课教师要充分利用网络学习空间进行“教”与“学”的研究和实践。课程组全体教师共建课程资源，开展协同备课、授课，形成课程建设合力；强化教学设计，及时更新教学内容，实现学生考核过程精细化、教学效果分析与反馈即时化；灵活运用翻转课堂、自主课堂、场景课堂等，积极开展研讨式教学，形成具有一定特色的信息化教学模式。</w:t>
      </w:r>
    </w:p>
    <w:p>
      <w:pPr>
        <w:widowControl/>
        <w:spacing w:line="560" w:lineRule="exact"/>
        <w:ind w:firstLine="590" w:firstLineChars="196"/>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五、组织实施</w:t>
      </w:r>
    </w:p>
    <w:p>
      <w:pPr>
        <w:widowControl/>
        <w:spacing w:line="56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（一）学院召开课程信息化教学改革工作组会议做出部署。</w:t>
      </w:r>
    </w:p>
    <w:p>
      <w:pPr>
        <w:widowControl/>
        <w:spacing w:line="56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（二）各系部召开课程信息化教学研讨会，传达学习教育部、学校、学院文件精神，明确目标、内容、要求等，汇总教师意见和建议。</w:t>
      </w:r>
    </w:p>
    <w:p>
      <w:pPr>
        <w:widowControl/>
        <w:spacing w:line="56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（三）体育学院课程信息化教学改革工作组根据教学实际和教师意见和建议，确定课程信息化建设的初级、中级和高级三个应用层次课程名单、完成时间及责任人。</w:t>
      </w:r>
    </w:p>
    <w:p>
      <w:pPr>
        <w:widowControl/>
        <w:spacing w:line="56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w:t>
      </w:r>
      <w:r>
        <w:rPr>
          <w:rFonts w:hint="eastAsia" w:asciiTheme="minorEastAsia" w:hAnsiTheme="minorEastAsia" w:eastAsiaTheme="minorEastAsia" w:cstheme="minorEastAsia"/>
          <w:sz w:val="30"/>
          <w:szCs w:val="30"/>
        </w:rPr>
        <w:t>以公共体育课、学科基础课和专业主干课程为重点</w:t>
      </w:r>
      <w:r>
        <w:rPr>
          <w:rFonts w:hint="eastAsia" w:asciiTheme="minorEastAsia" w:hAnsiTheme="minorEastAsia" w:eastAsiaTheme="minorEastAsia" w:cstheme="minorEastAsia"/>
          <w:sz w:val="30"/>
          <w:szCs w:val="30"/>
        </w:rPr>
        <w:t>组织教师积极申报教务处</w:t>
      </w:r>
      <w:r>
        <w:rPr>
          <w:rFonts w:hint="eastAsia" w:asciiTheme="minorEastAsia" w:hAnsiTheme="minorEastAsia" w:eastAsiaTheme="minorEastAsia" w:cstheme="minorEastAsia"/>
          <w:sz w:val="30"/>
          <w:szCs w:val="30"/>
        </w:rPr>
        <w:t>信息化教学改革项目，力争每年立项成功1-2项。</w:t>
      </w:r>
    </w:p>
    <w:p>
      <w:pPr>
        <w:widowControl/>
        <w:spacing w:line="560" w:lineRule="exact"/>
        <w:ind w:firstLine="590" w:firstLineChars="196"/>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六、保障措施</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（一）组织保障。体育学院课程信息化教学改革工作组负责课程信息化教学工作的规划和实施。</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（二）政策保障。课程信息化教学应用层次作为教师申报各种教学相关项目和奖励的基本条件之一。学院适时组织 “优秀信息化教学课程”评选给予一定奖励。</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（三）经费保障。充分利用学校设立的专项经费，用于信息化培训、奖励、教学资源库建设、软硬件运行维护等，学院根据实际情况给予一定经费补贴。</w:t>
      </w:r>
    </w:p>
    <w:p>
      <w:pPr>
        <w:widowControl/>
        <w:spacing w:line="560" w:lineRule="exact"/>
        <w:ind w:firstLine="64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技术保障。教务处负责学校网络教学平台的运行和技术服务、统计和分析课程信息化教学实施情况、举办信息技术培训和经验交流会等。网络信息中心负责维护网络教学平台的运行环境。如有问题由分管教学工作副院长负责协调相关部门解决。</w:t>
      </w:r>
    </w:p>
    <w:p>
      <w:pPr>
        <w:tabs>
          <w:tab w:val="right" w:pos="8601"/>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附表：体育学院课程信息化教学分级表</w:t>
      </w: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山东理工大学体育学院</w:t>
      </w:r>
    </w:p>
    <w:p>
      <w:pPr>
        <w:tabs>
          <w:tab w:val="right" w:pos="8601"/>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2017年10月17日</w:t>
      </w: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p>
    <w:p>
      <w:pPr>
        <w:tabs>
          <w:tab w:val="right" w:pos="8601"/>
        </w:tabs>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附表：</w:t>
      </w:r>
    </w:p>
    <w:p>
      <w:pPr>
        <w:tabs>
          <w:tab w:val="right" w:pos="8601"/>
        </w:tabs>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体育学院课程信息化教学分级表</w:t>
      </w:r>
    </w:p>
    <w:tbl>
      <w:tblPr>
        <w:tblStyle w:val="7"/>
        <w:tblW w:w="8670" w:type="dxa"/>
        <w:tblInd w:w="93" w:type="dxa"/>
        <w:tblLayout w:type="fixed"/>
        <w:tblCellMar>
          <w:top w:w="0" w:type="dxa"/>
          <w:left w:w="108" w:type="dxa"/>
          <w:bottom w:w="0" w:type="dxa"/>
          <w:right w:w="108" w:type="dxa"/>
        </w:tblCellMar>
      </w:tblPr>
      <w:tblGrid>
        <w:gridCol w:w="954"/>
        <w:gridCol w:w="1817"/>
        <w:gridCol w:w="2066"/>
        <w:gridCol w:w="2105"/>
        <w:gridCol w:w="1728"/>
      </w:tblGrid>
      <w:tr>
        <w:tblPrEx>
          <w:tblLayout w:type="fixed"/>
          <w:tblCellMar>
            <w:top w:w="0" w:type="dxa"/>
            <w:left w:w="108" w:type="dxa"/>
            <w:bottom w:w="0" w:type="dxa"/>
            <w:right w:w="108" w:type="dxa"/>
          </w:tblCellMar>
        </w:tblPrEx>
        <w:trPr>
          <w:trHeight w:val="555"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系部</w:t>
            </w:r>
          </w:p>
        </w:tc>
        <w:tc>
          <w:tcPr>
            <w:tcW w:w="1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高级</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中级</w:t>
            </w:r>
          </w:p>
        </w:tc>
        <w:tc>
          <w:tcPr>
            <w:tcW w:w="2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初级</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完成时间</w:t>
            </w:r>
          </w:p>
        </w:tc>
      </w:tr>
      <w:tr>
        <w:tblPrEx>
          <w:tblLayout w:type="fixed"/>
          <w:tblCellMar>
            <w:top w:w="0" w:type="dxa"/>
            <w:left w:w="108" w:type="dxa"/>
            <w:bottom w:w="0" w:type="dxa"/>
            <w:right w:w="108" w:type="dxa"/>
          </w:tblCellMar>
        </w:tblPrEx>
        <w:trPr>
          <w:trHeight w:val="270" w:hRule="atLeast"/>
        </w:trPr>
        <w:tc>
          <w:tcPr>
            <w:tcW w:w="9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公体</w:t>
            </w:r>
          </w:p>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一部     （6）</w:t>
            </w: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排球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篮球</w:t>
            </w:r>
          </w:p>
        </w:tc>
        <w:tc>
          <w:tcPr>
            <w:tcW w:w="17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高级课程10门：        2018年12月；             中级课程27门：        2018年12月；          </w:t>
            </w:r>
          </w:p>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初级课程62门：       2018年7月</w:t>
            </w: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足球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网球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羽毛球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公体</w:t>
            </w:r>
          </w:p>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二部     （11）</w:t>
            </w: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田径</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体育舞蹈</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健美操</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毽球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武术</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乒乓球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跆拳道</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手球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散打</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极限飞盘</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瑜伽</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太极拳</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w:t>
            </w:r>
          </w:p>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教育系  （51）</w:t>
            </w: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运动解剖学</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武术教学理论与实践</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武术技术技能拓展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体育保健学</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体操教学理论与实践</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瑜伽</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运动生理学</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健美操教学理论与实践</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太极拳</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学校体育学</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健美操主修理论与实践</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散打/防身术</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运动营养与恢复</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健美操</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体操技术技能拓展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体育史</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体操</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健美操技术技能拓展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运动生物力学</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武术</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啦啦队</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体育概论</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安全防护与急救处理</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团体操编排理论与实践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体育科研方法</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运动训练学</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羽毛球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体育测量与评价</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运动生物化学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体育管理学</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体育绘图</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中学体育教材教法</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花样跳绳</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体育统计学</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体育学院学科导论</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体育游戏</w:t>
            </w:r>
          </w:p>
        </w:tc>
        <w:tc>
          <w:tcPr>
            <w:tcW w:w="2105" w:type="dxa"/>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新生研讨课</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nil"/>
              <w:right w:val="nil"/>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p>
        </w:tc>
        <w:tc>
          <w:tcPr>
            <w:tcW w:w="2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体育心理学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体育产业管理与创业</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齐鲁文化与当代体育</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体育法学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体育舞蹈</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体育社会学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学校卫生学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传统拳</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健身锻炼方法与评定</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体育教学论</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竞技教育学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运动员选材</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保健按摩</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体育经济学</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运动</w:t>
            </w:r>
          </w:p>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训练系 （31）</w:t>
            </w: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网球教学理论与实践</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排球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篮球教学理论与实践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田径</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排球教学理论与实践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篮球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足球教学理论与实践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足球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田径教学理论与实践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乒乓球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乒乓球教学理论与实践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网球</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篮球主修理论与实践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排球主修理论与实践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足球主修理论与实践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网球主修理论与实践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乒乓球主修理论与实践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田径主修理论与实践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手球</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网球技术技能拓展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乒乓球技术技能拓展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篮球技术技能拓展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排球技术技能拓展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足球技术技能拓展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田径技术技能拓展</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定向运动</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健美运动</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举摔柔主修理论与实践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射击主修理论与实践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游泳主修理论与实践</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r>
        <w:tblPrEx>
          <w:tblLayout w:type="fixed"/>
          <w:tblCellMar>
            <w:top w:w="0" w:type="dxa"/>
            <w:left w:w="108" w:type="dxa"/>
            <w:bottom w:w="0" w:type="dxa"/>
            <w:right w:w="108" w:type="dxa"/>
          </w:tblCellMar>
        </w:tblPrEx>
        <w:trPr>
          <w:trHeight w:val="270" w:hRule="atLeast"/>
        </w:trPr>
        <w:tc>
          <w:tcPr>
            <w:tcW w:w="9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c>
          <w:tcPr>
            <w:tcW w:w="181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06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w:t>
            </w:r>
          </w:p>
        </w:tc>
        <w:tc>
          <w:tcPr>
            <w:tcW w:w="21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高尔夫运动</w:t>
            </w:r>
          </w:p>
        </w:tc>
        <w:tc>
          <w:tcPr>
            <w:tcW w:w="17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sz w:val="30"/>
                <w:szCs w:val="30"/>
              </w:rPr>
            </w:pPr>
          </w:p>
        </w:tc>
      </w:tr>
    </w:tbl>
    <w:p>
      <w:pPr>
        <w:tabs>
          <w:tab w:val="right" w:pos="8601"/>
        </w:tabs>
        <w:spacing w:line="360" w:lineRule="auto"/>
        <w:jc w:val="center"/>
        <w:rPr>
          <w:rFonts w:hint="eastAsia"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BD"/>
    <w:rsid w:val="00046E57"/>
    <w:rsid w:val="000514E4"/>
    <w:rsid w:val="000B3A5D"/>
    <w:rsid w:val="000B5FE4"/>
    <w:rsid w:val="00102AA3"/>
    <w:rsid w:val="00157733"/>
    <w:rsid w:val="00172C11"/>
    <w:rsid w:val="00190644"/>
    <w:rsid w:val="001C47DF"/>
    <w:rsid w:val="001D1E87"/>
    <w:rsid w:val="00211411"/>
    <w:rsid w:val="0028693A"/>
    <w:rsid w:val="002A0CBF"/>
    <w:rsid w:val="002B34B4"/>
    <w:rsid w:val="002C06D5"/>
    <w:rsid w:val="002C1EA7"/>
    <w:rsid w:val="002D670C"/>
    <w:rsid w:val="002E4A64"/>
    <w:rsid w:val="003006A3"/>
    <w:rsid w:val="00307775"/>
    <w:rsid w:val="003566B8"/>
    <w:rsid w:val="003635CA"/>
    <w:rsid w:val="004168F1"/>
    <w:rsid w:val="00457ACA"/>
    <w:rsid w:val="00473D2C"/>
    <w:rsid w:val="00481D0B"/>
    <w:rsid w:val="00490E09"/>
    <w:rsid w:val="004C71EF"/>
    <w:rsid w:val="004F0418"/>
    <w:rsid w:val="0051764F"/>
    <w:rsid w:val="00523BD7"/>
    <w:rsid w:val="00556D23"/>
    <w:rsid w:val="00585528"/>
    <w:rsid w:val="0059766E"/>
    <w:rsid w:val="00597825"/>
    <w:rsid w:val="005C0B19"/>
    <w:rsid w:val="005D6FA6"/>
    <w:rsid w:val="00607475"/>
    <w:rsid w:val="006648BE"/>
    <w:rsid w:val="00671387"/>
    <w:rsid w:val="0067314F"/>
    <w:rsid w:val="00673BF1"/>
    <w:rsid w:val="00692636"/>
    <w:rsid w:val="006B13FE"/>
    <w:rsid w:val="006B1EDF"/>
    <w:rsid w:val="007B0EB1"/>
    <w:rsid w:val="007B3C2F"/>
    <w:rsid w:val="00841AAC"/>
    <w:rsid w:val="00867FF8"/>
    <w:rsid w:val="00883196"/>
    <w:rsid w:val="00887D82"/>
    <w:rsid w:val="00891043"/>
    <w:rsid w:val="008E5AC9"/>
    <w:rsid w:val="00900B8C"/>
    <w:rsid w:val="0091033E"/>
    <w:rsid w:val="009256AB"/>
    <w:rsid w:val="00A4693E"/>
    <w:rsid w:val="00A50A74"/>
    <w:rsid w:val="00A73226"/>
    <w:rsid w:val="00A909AB"/>
    <w:rsid w:val="00AA0CCC"/>
    <w:rsid w:val="00AB0D3A"/>
    <w:rsid w:val="00AB3743"/>
    <w:rsid w:val="00AC0F36"/>
    <w:rsid w:val="00AD0F57"/>
    <w:rsid w:val="00AF09AF"/>
    <w:rsid w:val="00AF4333"/>
    <w:rsid w:val="00AF7E9A"/>
    <w:rsid w:val="00B90219"/>
    <w:rsid w:val="00BD7258"/>
    <w:rsid w:val="00C02F17"/>
    <w:rsid w:val="00C1459C"/>
    <w:rsid w:val="00C22118"/>
    <w:rsid w:val="00C320A6"/>
    <w:rsid w:val="00C3386B"/>
    <w:rsid w:val="00C3553E"/>
    <w:rsid w:val="00C35C82"/>
    <w:rsid w:val="00C64FF4"/>
    <w:rsid w:val="00D74E58"/>
    <w:rsid w:val="00D87618"/>
    <w:rsid w:val="00DD1467"/>
    <w:rsid w:val="00DD67BD"/>
    <w:rsid w:val="00E500CB"/>
    <w:rsid w:val="00EC7F7C"/>
    <w:rsid w:val="00F015A4"/>
    <w:rsid w:val="00F02F63"/>
    <w:rsid w:val="00F70320"/>
    <w:rsid w:val="063E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color w:val="000000"/>
      <w:kern w:val="0"/>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color w:val="auto"/>
      <w:sz w:val="24"/>
      <w:szCs w:val="24"/>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rFonts w:ascii="Times New Roman" w:hAnsi="Times New Roman" w:eastAsia="Arial Unicode MS" w:cs="Times New Roman"/>
      <w:color w:val="000000"/>
      <w:kern w:val="0"/>
      <w:sz w:val="18"/>
      <w:szCs w:val="18"/>
    </w:rPr>
  </w:style>
  <w:style w:type="character" w:customStyle="1" w:styleId="10">
    <w:name w:val="页脚 Char"/>
    <w:basedOn w:val="6"/>
    <w:link w:val="3"/>
    <w:semiHidden/>
    <w:qFormat/>
    <w:uiPriority w:val="99"/>
    <w:rPr>
      <w:rFonts w:ascii="Times New Roman" w:hAnsi="Times New Roman" w:eastAsia="Arial Unicode MS" w:cs="Times New Roman"/>
      <w:color w:val="000000"/>
      <w:kern w:val="0"/>
      <w:sz w:val="18"/>
      <w:szCs w:val="18"/>
    </w:rPr>
  </w:style>
  <w:style w:type="paragraph" w:customStyle="1" w:styleId="11">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2">
    <w:name w:val="日期 Char"/>
    <w:basedOn w:val="6"/>
    <w:link w:val="2"/>
    <w:semiHidden/>
    <w:qFormat/>
    <w:uiPriority w:val="99"/>
    <w:rPr>
      <w:rFonts w:ascii="Times New Roman" w:hAnsi="Times New Roman" w:eastAsia="Arial Unicode MS" w:cs="Times New Roman"/>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498</Words>
  <Characters>2841</Characters>
  <Lines>23</Lines>
  <Paragraphs>6</Paragraphs>
  <TotalTime>97</TotalTime>
  <ScaleCrop>false</ScaleCrop>
  <LinksUpToDate>false</LinksUpToDate>
  <CharactersWithSpaces>3333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2016-04-05T02:09:00Z</dcterms:created>
  <dc:creator>admin</dc:creator>
  <cp:lastModifiedBy>H -Jeremy Lin</cp:lastModifiedBy>
  <dcterms:modified xsi:type="dcterms:W3CDTF">2018-11-28T13:31:01Z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